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E45" w:rsidRPr="00820E45" w:rsidRDefault="00820E45" w:rsidP="00820E45">
      <w:pPr>
        <w:autoSpaceDE w:val="0"/>
        <w:autoSpaceDN w:val="0"/>
        <w:adjustRightInd w:val="0"/>
        <w:spacing w:after="0" w:line="480" w:lineRule="auto"/>
        <w:jc w:val="both"/>
        <w:rPr>
          <w:rFonts w:ascii="Arial" w:eastAsia="Calibri" w:hAnsi="Arial" w:cs="Arial"/>
          <w:b/>
          <w:bCs/>
          <w:szCs w:val="22"/>
        </w:rPr>
      </w:pPr>
      <w:r w:rsidRPr="00820E45">
        <w:rPr>
          <w:rFonts w:ascii="Arial" w:eastAsia="Calibri" w:hAnsi="Arial" w:cs="Arial"/>
          <w:b/>
          <w:bCs/>
          <w:szCs w:val="22"/>
        </w:rPr>
        <w:t>Additional File S2</w:t>
      </w:r>
      <w:r w:rsidR="001914CF">
        <w:rPr>
          <w:rFonts w:ascii="Arial" w:eastAsia="Calibri" w:hAnsi="Arial" w:cs="Arial"/>
          <w:b/>
          <w:bCs/>
          <w:szCs w:val="22"/>
        </w:rPr>
        <w:t xml:space="preserve"> </w:t>
      </w:r>
    </w:p>
    <w:p w:rsidR="00820E45" w:rsidRDefault="00820E45" w:rsidP="00820E45">
      <w:pPr>
        <w:autoSpaceDE w:val="0"/>
        <w:autoSpaceDN w:val="0"/>
        <w:adjustRightInd w:val="0"/>
        <w:spacing w:after="0" w:line="480" w:lineRule="auto"/>
        <w:jc w:val="both"/>
        <w:rPr>
          <w:rFonts w:ascii="Arial" w:eastAsia="Calibri" w:hAnsi="Arial" w:cs="Arial"/>
          <w:b/>
          <w:bCs/>
          <w:szCs w:val="22"/>
        </w:rPr>
      </w:pPr>
    </w:p>
    <w:p w:rsidR="00820E45" w:rsidRPr="00820E45" w:rsidRDefault="00820E45" w:rsidP="00820E45">
      <w:pPr>
        <w:autoSpaceDE w:val="0"/>
        <w:autoSpaceDN w:val="0"/>
        <w:adjustRightInd w:val="0"/>
        <w:spacing w:after="0" w:line="480" w:lineRule="auto"/>
        <w:jc w:val="both"/>
        <w:rPr>
          <w:rFonts w:ascii="Arial" w:eastAsia="Calibri" w:hAnsi="Arial" w:cs="Arial"/>
          <w:b/>
          <w:bCs/>
          <w:szCs w:val="22"/>
        </w:rPr>
      </w:pPr>
      <w:r w:rsidRPr="00820E45">
        <w:rPr>
          <w:rFonts w:ascii="Arial" w:eastAsia="Calibri" w:hAnsi="Arial" w:cs="Arial"/>
          <w:b/>
          <w:bCs/>
          <w:szCs w:val="22"/>
        </w:rPr>
        <w:t>A Note on Endogeneity and Instrumental Variable (IV) Method:</w:t>
      </w:r>
    </w:p>
    <w:p w:rsidR="00820E45" w:rsidRDefault="001914CF" w:rsidP="00820E45">
      <w:pPr>
        <w:autoSpaceDE w:val="0"/>
        <w:autoSpaceDN w:val="0"/>
        <w:adjustRightInd w:val="0"/>
        <w:spacing w:after="0" w:line="480" w:lineRule="auto"/>
        <w:jc w:val="both"/>
        <w:rPr>
          <w:rFonts w:ascii="Arial" w:eastAsia="Calibri" w:hAnsi="Arial" w:cs="Arial"/>
          <w:szCs w:val="22"/>
        </w:rPr>
      </w:pPr>
      <w:r>
        <w:rPr>
          <w:rFonts w:ascii="Arial" w:eastAsia="Calibri" w:hAnsi="Arial" w:cs="Arial"/>
          <w:szCs w:val="22"/>
        </w:rPr>
        <w:t>(Note: Citation numbers given here are from the Reference List given in the Main Manuscript)</w:t>
      </w:r>
    </w:p>
    <w:p w:rsidR="001914CF" w:rsidRDefault="001914CF" w:rsidP="00820E45">
      <w:pPr>
        <w:autoSpaceDE w:val="0"/>
        <w:autoSpaceDN w:val="0"/>
        <w:adjustRightInd w:val="0"/>
        <w:spacing w:after="0" w:line="480" w:lineRule="auto"/>
        <w:jc w:val="both"/>
        <w:rPr>
          <w:rFonts w:ascii="Arial" w:eastAsia="Calibri" w:hAnsi="Arial" w:cs="Arial"/>
          <w:szCs w:val="22"/>
        </w:rPr>
      </w:pPr>
    </w:p>
    <w:p w:rsidR="00820E45" w:rsidRPr="004D29EE" w:rsidRDefault="00820E45" w:rsidP="00820E45">
      <w:pPr>
        <w:autoSpaceDE w:val="0"/>
        <w:autoSpaceDN w:val="0"/>
        <w:adjustRightInd w:val="0"/>
        <w:spacing w:after="0" w:line="480" w:lineRule="auto"/>
        <w:jc w:val="both"/>
        <w:rPr>
          <w:rFonts w:ascii="Times New Roman" w:hAnsi="Times New Roman" w:cs="Times New Roman"/>
          <w:szCs w:val="22"/>
        </w:rPr>
      </w:pPr>
      <w:r w:rsidRPr="004D29EE">
        <w:rPr>
          <w:rFonts w:ascii="Arial" w:eastAsia="Calibri" w:hAnsi="Arial" w:cs="Arial"/>
          <w:szCs w:val="22"/>
        </w:rPr>
        <w:t>Endogeneity means that an explanatory variable correlates with the disturbance term of the regression equation. Not accounting for it can result in biased parameter estimates [</w:t>
      </w:r>
      <w:r w:rsidR="001914CF" w:rsidRPr="00A414C5">
        <w:rPr>
          <w:rFonts w:ascii="Arial" w:eastAsia="Calibri" w:hAnsi="Arial" w:cs="Arial"/>
          <w:color w:val="0070C0"/>
          <w:szCs w:val="22"/>
        </w:rPr>
        <w:t>44</w:t>
      </w:r>
      <w:r w:rsidRPr="004D29EE">
        <w:rPr>
          <w:rFonts w:ascii="Arial" w:eastAsia="Calibri" w:hAnsi="Arial" w:cs="Arial"/>
          <w:szCs w:val="22"/>
        </w:rPr>
        <w:t>]. Endogeneity can be caused by circumstances including omitted variables, simultaneity and measurement errors [</w:t>
      </w:r>
      <w:r w:rsidR="001914CF" w:rsidRPr="00A414C5">
        <w:rPr>
          <w:rFonts w:ascii="Arial" w:eastAsia="Calibri" w:hAnsi="Arial" w:cs="Arial"/>
          <w:color w:val="0070C0"/>
          <w:szCs w:val="22"/>
        </w:rPr>
        <w:t>50</w:t>
      </w:r>
      <w:r w:rsidRPr="004D29EE">
        <w:rPr>
          <w:rFonts w:ascii="Arial" w:eastAsia="Calibri" w:hAnsi="Arial" w:cs="Arial"/>
          <w:szCs w:val="22"/>
        </w:rPr>
        <w:t>].  Literature suggests that insurance enrolment variable can induce the problem of endogeneity while assessing its effect on economic outcomes like OOPE [</w:t>
      </w:r>
      <w:r w:rsidR="001914CF" w:rsidRPr="00A414C5">
        <w:rPr>
          <w:rFonts w:ascii="Arial" w:eastAsia="Calibri" w:hAnsi="Arial" w:cs="Arial"/>
          <w:color w:val="0070C0"/>
          <w:szCs w:val="22"/>
        </w:rPr>
        <w:t>44-48, 50</w:t>
      </w:r>
      <w:r w:rsidRPr="004D29EE">
        <w:rPr>
          <w:rFonts w:ascii="Arial" w:eastAsia="Calibri" w:hAnsi="Arial" w:cs="Arial"/>
          <w:szCs w:val="22"/>
        </w:rPr>
        <w:t>]. When selection into the scheme is non-random, the insurance-enrollment and the error term in our estimating equation are likely to be correlated with one another. This can bias the coefficient on insurance in the out</w:t>
      </w:r>
      <w:r w:rsidR="001914CF">
        <w:rPr>
          <w:rFonts w:ascii="Arial" w:eastAsia="Calibri" w:hAnsi="Arial" w:cs="Arial"/>
          <w:szCs w:val="22"/>
        </w:rPr>
        <w:t>-of-pocket expenditure equation [</w:t>
      </w:r>
      <w:r w:rsidR="001914CF" w:rsidRPr="00A414C5">
        <w:rPr>
          <w:rFonts w:ascii="Arial" w:eastAsia="Calibri" w:hAnsi="Arial" w:cs="Arial"/>
          <w:color w:val="0070C0"/>
          <w:szCs w:val="22"/>
        </w:rPr>
        <w:t>44, 50</w:t>
      </w:r>
      <w:r w:rsidR="001914CF">
        <w:rPr>
          <w:rFonts w:ascii="Arial" w:eastAsia="Calibri" w:hAnsi="Arial" w:cs="Arial"/>
          <w:szCs w:val="22"/>
        </w:rPr>
        <w:t>]</w:t>
      </w:r>
      <w:r>
        <w:rPr>
          <w:rFonts w:ascii="Arial" w:hAnsi="Arial" w:cs="Arial"/>
          <w:szCs w:val="22"/>
        </w:rPr>
        <w:t xml:space="preserve"> </w:t>
      </w:r>
      <w:r w:rsidRPr="00F9746D">
        <w:rPr>
          <w:rFonts w:ascii="Arial" w:hAnsi="Arial" w:cs="Arial"/>
          <w:szCs w:val="22"/>
        </w:rPr>
        <w:t>The Instrumental Variable (IV) method has been recommended as a robust solution to potential problem of endogeneity [</w:t>
      </w:r>
      <w:r w:rsidRPr="000C538D">
        <w:rPr>
          <w:rFonts w:ascii="Arial" w:hAnsi="Arial" w:cs="Arial"/>
          <w:color w:val="0070C0"/>
          <w:szCs w:val="22"/>
        </w:rPr>
        <w:t>34, 43-46</w:t>
      </w:r>
      <w:r w:rsidRPr="00F9746D">
        <w:rPr>
          <w:rFonts w:ascii="Arial" w:hAnsi="Arial" w:cs="Arial"/>
          <w:szCs w:val="22"/>
        </w:rPr>
        <w:t>]. IV method has been considered more suitable than Difference in Difference (DID) and Propensity Score Matching for addressing endogeneity bias due to unobserved variables [</w:t>
      </w:r>
      <w:r>
        <w:rPr>
          <w:rFonts w:ascii="Arial" w:hAnsi="Arial" w:cs="Arial"/>
          <w:color w:val="0070C0"/>
          <w:szCs w:val="22"/>
        </w:rPr>
        <w:t>43, 45</w:t>
      </w:r>
      <w:r w:rsidRPr="00F9746D">
        <w:rPr>
          <w:rFonts w:ascii="Arial" w:hAnsi="Arial" w:cs="Arial"/>
          <w:szCs w:val="22"/>
        </w:rPr>
        <w:t xml:space="preserve">]. IV method has been applied in evaluations of impact of PFHI </w:t>
      </w:r>
      <w:r>
        <w:rPr>
          <w:rFonts w:ascii="Arial" w:hAnsi="Arial" w:cs="Arial"/>
          <w:szCs w:val="22"/>
        </w:rPr>
        <w:t>schemes</w:t>
      </w:r>
      <w:r w:rsidRPr="00F9746D">
        <w:rPr>
          <w:rFonts w:ascii="Arial" w:hAnsi="Arial" w:cs="Arial"/>
          <w:szCs w:val="22"/>
        </w:rPr>
        <w:t xml:space="preserve"> on OOPE and CHE </w:t>
      </w:r>
      <w:r w:rsidRPr="005D6A52">
        <w:rPr>
          <w:rFonts w:ascii="Arial" w:hAnsi="Arial" w:cs="Arial"/>
          <w:szCs w:val="22"/>
        </w:rPr>
        <w:t xml:space="preserve">in India, </w:t>
      </w:r>
      <w:r w:rsidR="00A414C5">
        <w:rPr>
          <w:rFonts w:ascii="Arial" w:hAnsi="Arial" w:cs="Arial"/>
          <w:szCs w:val="22"/>
        </w:rPr>
        <w:t xml:space="preserve">China, </w:t>
      </w:r>
      <w:r w:rsidRPr="005D6A52">
        <w:rPr>
          <w:rFonts w:ascii="Arial" w:hAnsi="Arial" w:cs="Arial"/>
          <w:szCs w:val="22"/>
        </w:rPr>
        <w:t>Mexico</w:t>
      </w:r>
      <w:r w:rsidRPr="00F9746D">
        <w:rPr>
          <w:rFonts w:ascii="Arial" w:hAnsi="Arial" w:cs="Arial"/>
          <w:szCs w:val="22"/>
        </w:rPr>
        <w:t xml:space="preserve"> and Ghana [</w:t>
      </w:r>
      <w:r w:rsidRPr="00A414C5">
        <w:rPr>
          <w:rFonts w:ascii="Arial" w:hAnsi="Arial" w:cs="Arial"/>
          <w:color w:val="0070C0"/>
          <w:szCs w:val="22"/>
        </w:rPr>
        <w:t>26,</w:t>
      </w:r>
      <w:r>
        <w:rPr>
          <w:rFonts w:ascii="Arial" w:hAnsi="Arial" w:cs="Arial"/>
          <w:szCs w:val="22"/>
        </w:rPr>
        <w:t xml:space="preserve"> </w:t>
      </w:r>
      <w:r w:rsidR="00A414C5" w:rsidRPr="00A414C5">
        <w:rPr>
          <w:rFonts w:ascii="Arial" w:hAnsi="Arial" w:cs="Arial"/>
          <w:color w:val="0070C0"/>
          <w:szCs w:val="22"/>
        </w:rPr>
        <w:t>44,</w:t>
      </w:r>
      <w:r w:rsidR="00A414C5">
        <w:rPr>
          <w:rFonts w:ascii="Arial" w:hAnsi="Arial" w:cs="Arial"/>
          <w:szCs w:val="22"/>
        </w:rPr>
        <w:t xml:space="preserve"> </w:t>
      </w:r>
      <w:r>
        <w:rPr>
          <w:rFonts w:ascii="Arial" w:hAnsi="Arial" w:cs="Arial"/>
          <w:color w:val="0070C0"/>
          <w:szCs w:val="22"/>
        </w:rPr>
        <w:t xml:space="preserve">47, </w:t>
      </w:r>
      <w:proofErr w:type="gramStart"/>
      <w:r>
        <w:rPr>
          <w:rFonts w:ascii="Arial" w:hAnsi="Arial" w:cs="Arial"/>
          <w:color w:val="0070C0"/>
          <w:szCs w:val="22"/>
        </w:rPr>
        <w:t>48</w:t>
      </w:r>
      <w:proofErr w:type="gramEnd"/>
      <w:r w:rsidRPr="00F9746D">
        <w:rPr>
          <w:rFonts w:ascii="Arial" w:hAnsi="Arial" w:cs="Arial"/>
          <w:szCs w:val="22"/>
        </w:rPr>
        <w:t xml:space="preserve">].  </w:t>
      </w:r>
    </w:p>
    <w:p w:rsidR="00A414C5" w:rsidRDefault="00A414C5" w:rsidP="00820E45">
      <w:pPr>
        <w:autoSpaceDE w:val="0"/>
        <w:autoSpaceDN w:val="0"/>
        <w:adjustRightInd w:val="0"/>
        <w:spacing w:after="0" w:line="480" w:lineRule="auto"/>
        <w:jc w:val="both"/>
        <w:rPr>
          <w:rFonts w:ascii="Arial" w:hAnsi="Arial" w:cs="Arial"/>
          <w:szCs w:val="22"/>
        </w:rPr>
      </w:pPr>
    </w:p>
    <w:p w:rsidR="00820E45" w:rsidRPr="00F9746D" w:rsidRDefault="00820E45" w:rsidP="00820E45">
      <w:pPr>
        <w:autoSpaceDE w:val="0"/>
        <w:autoSpaceDN w:val="0"/>
        <w:adjustRightInd w:val="0"/>
        <w:spacing w:after="0" w:line="480" w:lineRule="auto"/>
        <w:jc w:val="both"/>
        <w:rPr>
          <w:rFonts w:ascii="Arial" w:hAnsi="Arial" w:cs="Arial"/>
          <w:szCs w:val="22"/>
        </w:rPr>
      </w:pPr>
      <w:r w:rsidRPr="00F9746D">
        <w:rPr>
          <w:rFonts w:ascii="Arial" w:hAnsi="Arial" w:cs="Arial"/>
          <w:szCs w:val="22"/>
        </w:rPr>
        <w:t>A suitable ‘Instrumental Variable’ should satisfy the ‘relevance’ criterion i.e. it should correlate with the explanatory variable, i.e. PFHI-enrollment in this case [</w:t>
      </w:r>
      <w:r w:rsidRPr="00A414C5">
        <w:rPr>
          <w:rFonts w:ascii="Arial" w:hAnsi="Arial" w:cs="Arial"/>
          <w:color w:val="0070C0"/>
          <w:szCs w:val="22"/>
        </w:rPr>
        <w:t>43, 50</w:t>
      </w:r>
      <w:r w:rsidRPr="00F9746D">
        <w:rPr>
          <w:rFonts w:ascii="Arial" w:hAnsi="Arial" w:cs="Arial"/>
          <w:szCs w:val="22"/>
        </w:rPr>
        <w:t>]. A suitable Instrumental variable should not have a direct impact on the outcome variable [</w:t>
      </w:r>
      <w:r w:rsidRPr="00A414C5">
        <w:rPr>
          <w:rFonts w:ascii="Arial" w:hAnsi="Arial" w:cs="Arial"/>
          <w:color w:val="0070C0"/>
          <w:szCs w:val="22"/>
        </w:rPr>
        <w:t>50</w:t>
      </w:r>
      <w:r w:rsidRPr="00F9746D">
        <w:rPr>
          <w:rFonts w:ascii="Arial" w:hAnsi="Arial" w:cs="Arial"/>
          <w:szCs w:val="22"/>
        </w:rPr>
        <w:t>]. This restriction, also called ‘over-identifying restriction’, is tested by including each subset of instruments in the last stage regressions to see whether these instruments can be justifiably excluded from these regressions. According to literature, that test allows us to evaluate the validity of the model [</w:t>
      </w:r>
      <w:r w:rsidRPr="00A414C5">
        <w:rPr>
          <w:rFonts w:ascii="Arial" w:hAnsi="Arial" w:cs="Arial"/>
          <w:color w:val="0070C0"/>
          <w:szCs w:val="22"/>
        </w:rPr>
        <w:t>34, 43, 44, 49, 50</w:t>
      </w:r>
      <w:r w:rsidRPr="00F9746D">
        <w:rPr>
          <w:rFonts w:ascii="Arial" w:hAnsi="Arial" w:cs="Arial"/>
          <w:szCs w:val="22"/>
        </w:rPr>
        <w:t>]. Wu-</w:t>
      </w:r>
      <w:proofErr w:type="spellStart"/>
      <w:r w:rsidRPr="00F9746D">
        <w:rPr>
          <w:rFonts w:ascii="Arial" w:hAnsi="Arial" w:cs="Arial"/>
          <w:szCs w:val="22"/>
        </w:rPr>
        <w:t>Hausman</w:t>
      </w:r>
      <w:proofErr w:type="spellEnd"/>
      <w:r w:rsidRPr="00F9746D">
        <w:rPr>
          <w:rFonts w:ascii="Arial" w:hAnsi="Arial" w:cs="Arial"/>
          <w:szCs w:val="22"/>
        </w:rPr>
        <w:t xml:space="preserve"> test for 2sls (using command “</w:t>
      </w:r>
      <w:proofErr w:type="spellStart"/>
      <w:r w:rsidRPr="00F9746D">
        <w:rPr>
          <w:rFonts w:ascii="Arial" w:hAnsi="Arial" w:cs="Arial"/>
          <w:szCs w:val="22"/>
        </w:rPr>
        <w:t>estat</w:t>
      </w:r>
      <w:proofErr w:type="spellEnd"/>
      <w:r w:rsidRPr="00F9746D">
        <w:rPr>
          <w:rFonts w:ascii="Arial" w:hAnsi="Arial" w:cs="Arial"/>
          <w:szCs w:val="22"/>
        </w:rPr>
        <w:t xml:space="preserve"> </w:t>
      </w:r>
      <w:proofErr w:type="spellStart"/>
      <w:r w:rsidRPr="00F9746D">
        <w:rPr>
          <w:rFonts w:ascii="Arial" w:hAnsi="Arial" w:cs="Arial"/>
          <w:szCs w:val="22"/>
        </w:rPr>
        <w:t>endog</w:t>
      </w:r>
      <w:proofErr w:type="spellEnd"/>
      <w:r w:rsidRPr="00F9746D">
        <w:rPr>
          <w:rFonts w:ascii="Arial" w:hAnsi="Arial" w:cs="Arial"/>
          <w:szCs w:val="22"/>
        </w:rPr>
        <w:t xml:space="preserve">”) and Wald test of </w:t>
      </w:r>
      <w:r w:rsidRPr="00F9746D">
        <w:rPr>
          <w:rFonts w:ascii="Arial" w:hAnsi="Arial" w:cs="Arial"/>
          <w:szCs w:val="22"/>
        </w:rPr>
        <w:lastRenderedPageBreak/>
        <w:t xml:space="preserve">exogeneity for IV </w:t>
      </w:r>
      <w:proofErr w:type="spellStart"/>
      <w:r w:rsidRPr="00F9746D">
        <w:rPr>
          <w:rFonts w:ascii="Arial" w:hAnsi="Arial" w:cs="Arial"/>
          <w:szCs w:val="22"/>
        </w:rPr>
        <w:t>Probit</w:t>
      </w:r>
      <w:proofErr w:type="spellEnd"/>
      <w:r w:rsidRPr="00F9746D">
        <w:rPr>
          <w:rFonts w:ascii="Arial" w:hAnsi="Arial" w:cs="Arial"/>
          <w:szCs w:val="22"/>
        </w:rPr>
        <w:t xml:space="preserve"> were conducted to test for endogeneity. Over-identification restriction tests (command “</w:t>
      </w:r>
      <w:proofErr w:type="spellStart"/>
      <w:r w:rsidRPr="00F9746D">
        <w:rPr>
          <w:rFonts w:ascii="Arial" w:hAnsi="Arial" w:cs="Arial"/>
          <w:szCs w:val="22"/>
        </w:rPr>
        <w:t>weakiv</w:t>
      </w:r>
      <w:proofErr w:type="spellEnd"/>
      <w:r w:rsidRPr="00F9746D">
        <w:rPr>
          <w:rFonts w:ascii="Arial" w:hAnsi="Arial" w:cs="Arial"/>
          <w:szCs w:val="22"/>
        </w:rPr>
        <w:t xml:space="preserve">” for two step IV </w:t>
      </w:r>
      <w:proofErr w:type="spellStart"/>
      <w:r w:rsidRPr="00F9746D">
        <w:rPr>
          <w:rFonts w:ascii="Arial" w:hAnsi="Arial" w:cs="Arial"/>
          <w:szCs w:val="22"/>
        </w:rPr>
        <w:t>Probit</w:t>
      </w:r>
      <w:proofErr w:type="spellEnd"/>
      <w:r w:rsidRPr="00F9746D">
        <w:rPr>
          <w:rFonts w:ascii="Arial" w:hAnsi="Arial" w:cs="Arial"/>
          <w:szCs w:val="22"/>
        </w:rPr>
        <w:t xml:space="preserve"> and “</w:t>
      </w:r>
      <w:proofErr w:type="spellStart"/>
      <w:r w:rsidRPr="00F9746D">
        <w:rPr>
          <w:rFonts w:ascii="Arial" w:hAnsi="Arial" w:cs="Arial"/>
          <w:szCs w:val="22"/>
        </w:rPr>
        <w:t>estat</w:t>
      </w:r>
      <w:proofErr w:type="spellEnd"/>
      <w:r w:rsidRPr="00F9746D">
        <w:rPr>
          <w:rFonts w:ascii="Arial" w:hAnsi="Arial" w:cs="Arial"/>
          <w:szCs w:val="22"/>
        </w:rPr>
        <w:t xml:space="preserve"> </w:t>
      </w:r>
      <w:proofErr w:type="spellStart"/>
      <w:r w:rsidRPr="00F9746D">
        <w:rPr>
          <w:rFonts w:ascii="Arial" w:hAnsi="Arial" w:cs="Arial"/>
          <w:szCs w:val="22"/>
        </w:rPr>
        <w:t>overid</w:t>
      </w:r>
      <w:proofErr w:type="spellEnd"/>
      <w:r w:rsidRPr="00F9746D">
        <w:rPr>
          <w:rFonts w:ascii="Arial" w:hAnsi="Arial" w:cs="Arial"/>
          <w:szCs w:val="22"/>
        </w:rPr>
        <w:t xml:space="preserve">” for </w:t>
      </w:r>
      <w:proofErr w:type="gramStart"/>
      <w:r w:rsidRPr="00F9746D">
        <w:rPr>
          <w:rFonts w:ascii="Arial" w:hAnsi="Arial" w:cs="Arial"/>
          <w:szCs w:val="22"/>
        </w:rPr>
        <w:t>2sls )</w:t>
      </w:r>
      <w:proofErr w:type="gramEnd"/>
      <w:r w:rsidRPr="00F9746D">
        <w:rPr>
          <w:rFonts w:ascii="Arial" w:hAnsi="Arial" w:cs="Arial"/>
          <w:szCs w:val="22"/>
        </w:rPr>
        <w:t xml:space="preserve"> were applied to check the suitability of Instrumental Variable model chosen [</w:t>
      </w:r>
      <w:r w:rsidRPr="00A414C5">
        <w:rPr>
          <w:rFonts w:ascii="Arial" w:hAnsi="Arial" w:cs="Arial"/>
          <w:color w:val="0070C0"/>
          <w:szCs w:val="22"/>
        </w:rPr>
        <w:t>49</w:t>
      </w:r>
      <w:r w:rsidRPr="00F9746D">
        <w:rPr>
          <w:rFonts w:ascii="Arial" w:hAnsi="Arial" w:cs="Arial"/>
          <w:szCs w:val="22"/>
        </w:rPr>
        <w:t xml:space="preserve">]. The results of the above tests have been reported along with the regression results. Significance was taken at 95% (p&lt;0.05). </w:t>
      </w:r>
    </w:p>
    <w:p w:rsidR="00A414C5" w:rsidRDefault="00A414C5" w:rsidP="00820E45">
      <w:pPr>
        <w:spacing w:line="480" w:lineRule="auto"/>
        <w:jc w:val="both"/>
        <w:rPr>
          <w:rFonts w:ascii="Arial" w:hAnsi="Arial" w:cs="Arial"/>
          <w:szCs w:val="22"/>
        </w:rPr>
      </w:pPr>
    </w:p>
    <w:p w:rsidR="00820E45" w:rsidRDefault="00820E45" w:rsidP="00820E45">
      <w:pPr>
        <w:spacing w:line="480" w:lineRule="auto"/>
        <w:jc w:val="both"/>
      </w:pPr>
      <w:r>
        <w:rPr>
          <w:rFonts w:ascii="Arial" w:hAnsi="Arial" w:cs="Arial"/>
          <w:szCs w:val="22"/>
        </w:rPr>
        <w:t>For IV analysis, w</w:t>
      </w:r>
      <w:r w:rsidRPr="00F9746D">
        <w:rPr>
          <w:rFonts w:ascii="Arial" w:hAnsi="Arial" w:cs="Arial"/>
          <w:szCs w:val="22"/>
        </w:rPr>
        <w:t xml:space="preserve">e applied Two-step least square (2sls) for OOPE and Two-step IV </w:t>
      </w:r>
      <w:proofErr w:type="spellStart"/>
      <w:r w:rsidRPr="00F9746D">
        <w:rPr>
          <w:rFonts w:ascii="Arial" w:hAnsi="Arial" w:cs="Arial"/>
          <w:szCs w:val="22"/>
        </w:rPr>
        <w:t>Probit</w:t>
      </w:r>
      <w:proofErr w:type="spellEnd"/>
      <w:r w:rsidRPr="00F9746D">
        <w:rPr>
          <w:rFonts w:ascii="Arial" w:hAnsi="Arial" w:cs="Arial"/>
          <w:szCs w:val="22"/>
        </w:rPr>
        <w:t xml:space="preserve"> model for </w:t>
      </w:r>
      <w:proofErr w:type="spellStart"/>
      <w:r w:rsidRPr="00F9746D">
        <w:rPr>
          <w:rFonts w:ascii="Arial" w:hAnsi="Arial" w:cs="Arial"/>
          <w:szCs w:val="22"/>
        </w:rPr>
        <w:t>Utilisation</w:t>
      </w:r>
      <w:proofErr w:type="spellEnd"/>
      <w:r w:rsidRPr="00F9746D">
        <w:rPr>
          <w:rFonts w:ascii="Arial" w:hAnsi="Arial" w:cs="Arial"/>
          <w:szCs w:val="22"/>
        </w:rPr>
        <w:t xml:space="preserve"> and CHE [</w:t>
      </w:r>
      <w:r w:rsidRPr="00A414C5">
        <w:rPr>
          <w:rFonts w:ascii="Arial" w:hAnsi="Arial" w:cs="Arial"/>
          <w:color w:val="0070C0"/>
          <w:szCs w:val="22"/>
        </w:rPr>
        <w:t xml:space="preserve">26, 46, </w:t>
      </w:r>
      <w:proofErr w:type="gramStart"/>
      <w:r w:rsidRPr="00A414C5">
        <w:rPr>
          <w:rFonts w:ascii="Arial" w:hAnsi="Arial" w:cs="Arial"/>
          <w:color w:val="0070C0"/>
          <w:szCs w:val="22"/>
        </w:rPr>
        <w:t>49</w:t>
      </w:r>
      <w:proofErr w:type="gramEnd"/>
      <w:r w:rsidRPr="00F9746D">
        <w:rPr>
          <w:rFonts w:ascii="Arial" w:hAnsi="Arial" w:cs="Arial"/>
          <w:szCs w:val="22"/>
        </w:rPr>
        <w:t>]. Some studies on impact of insurance using IV method have applied 2sls for OOPE and Control Function tests like two-stage residual inclusion for CHE [</w:t>
      </w:r>
      <w:r w:rsidRPr="00A414C5">
        <w:rPr>
          <w:rFonts w:ascii="Arial" w:hAnsi="Arial" w:cs="Arial"/>
          <w:color w:val="0070C0"/>
          <w:szCs w:val="22"/>
        </w:rPr>
        <w:t>38, 39</w:t>
      </w:r>
      <w:r w:rsidRPr="00F9746D">
        <w:rPr>
          <w:rFonts w:ascii="Arial" w:hAnsi="Arial" w:cs="Arial"/>
          <w:szCs w:val="22"/>
        </w:rPr>
        <w:t xml:space="preserve">]. For robustness, we repeated the IV regressions for CHE using 2sls and also Two Step Control Function test available in STATA for endogenous covariates. Other studies have also used comparisons with IV </w:t>
      </w:r>
      <w:proofErr w:type="spellStart"/>
      <w:r w:rsidRPr="00F9746D">
        <w:rPr>
          <w:rFonts w:ascii="Arial" w:hAnsi="Arial" w:cs="Arial"/>
          <w:szCs w:val="22"/>
        </w:rPr>
        <w:t>Probit</w:t>
      </w:r>
      <w:proofErr w:type="spellEnd"/>
      <w:r w:rsidRPr="00F9746D">
        <w:rPr>
          <w:rFonts w:ascii="Arial" w:hAnsi="Arial" w:cs="Arial"/>
          <w:szCs w:val="22"/>
        </w:rPr>
        <w:t xml:space="preserve"> for robustness [</w:t>
      </w:r>
      <w:r w:rsidRPr="00A414C5">
        <w:rPr>
          <w:rFonts w:ascii="Arial" w:hAnsi="Arial" w:cs="Arial"/>
          <w:color w:val="0070C0"/>
          <w:szCs w:val="22"/>
        </w:rPr>
        <w:t>46</w:t>
      </w:r>
      <w:r w:rsidRPr="00F9746D">
        <w:rPr>
          <w:rFonts w:ascii="Arial" w:hAnsi="Arial" w:cs="Arial"/>
          <w:szCs w:val="22"/>
        </w:rPr>
        <w:t xml:space="preserve">]. </w:t>
      </w:r>
      <w:r w:rsidR="00A414C5">
        <w:rPr>
          <w:rFonts w:ascii="Arial" w:hAnsi="Arial" w:cs="Arial"/>
          <w:szCs w:val="22"/>
        </w:rPr>
        <w:t>Results of naïve and Propensity Score Matching (PSM) models were compared with results of IV models.</w:t>
      </w:r>
    </w:p>
    <w:p w:rsidR="00A403F6" w:rsidRDefault="00A403F6"/>
    <w:sectPr w:rsidR="00A403F6" w:rsidSect="00A403F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characterSpacingControl w:val="doNotCompress"/>
  <w:compat/>
  <w:rsids>
    <w:rsidRoot w:val="00820E45"/>
    <w:rsid w:val="001914CF"/>
    <w:rsid w:val="00820E45"/>
    <w:rsid w:val="00A403F6"/>
    <w:rsid w:val="00A414C5"/>
    <w:rsid w:val="00C33FB2"/>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E4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20E4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2020-01-20T04:31:00Z</dcterms:created>
  <dcterms:modified xsi:type="dcterms:W3CDTF">2020-01-21T11:07:00Z</dcterms:modified>
</cp:coreProperties>
</file>